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0102819B" w:rsidR="001A53D6" w:rsidRPr="00C66E4D" w:rsidRDefault="00BF4BCA" w:rsidP="00354140">
            <w:pPr>
              <w:spacing w:line="360" w:lineRule="auto"/>
              <w:jc w:val="both"/>
              <w:rPr>
                <w:rFonts w:ascii="Times New Roman" w:hAnsi="Times New Roman" w:cs="Times New Roman"/>
                <w:b/>
                <w:color w:val="000000" w:themeColor="text1"/>
              </w:rPr>
            </w:pPr>
            <w:r w:rsidRPr="00BF4BCA">
              <w:rPr>
                <w:rFonts w:ascii="Times New Roman" w:hAnsi="Times New Roman" w:cs="Times New Roman"/>
                <w:b/>
                <w:color w:val="000000" w:themeColor="text1"/>
              </w:rPr>
              <w:t>EJMRC-2969</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53ABB308" w:rsidR="003069E0" w:rsidRPr="00C66E4D" w:rsidRDefault="00BF4BCA"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BF4BCA">
              <w:rPr>
                <w:rFonts w:ascii="Times New Roman" w:hAnsi="Times New Roman" w:cs="Times New Roman"/>
                <w:b/>
                <w:color w:val="000000" w:themeColor="text1"/>
              </w:rPr>
              <w:t>Avdeev Vadim</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3679A437"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6B3E48">
              <w:rPr>
                <w:rFonts w:ascii="Times New Roman" w:eastAsia="Times New Roman" w:hAnsi="Times New Roman" w:cs="Times New Roman"/>
                <w:b/>
                <w:bCs/>
                <w:color w:val="000000" w:themeColor="text1"/>
                <w:shd w:val="clear" w:color="auto" w:fill="FFFFFF"/>
                <w:lang w:val="en-IN" w:eastAsia="en-IN"/>
              </w:rPr>
              <w:t xml:space="preserve">: </w:t>
            </w:r>
            <w:r w:rsidR="00BF4BCA" w:rsidRPr="00BF4BCA">
              <w:rPr>
                <w:rFonts w:ascii="Times New Roman" w:eastAsia="Times New Roman" w:hAnsi="Times New Roman" w:cs="Times New Roman"/>
                <w:b/>
                <w:bCs/>
                <w:color w:val="000000" w:themeColor="text1"/>
                <w:shd w:val="clear" w:color="auto" w:fill="FFFFFF"/>
                <w:lang w:val="en-IN" w:eastAsia="en-IN"/>
              </w:rPr>
              <w:t>Immunogenicity analysis of the lytic mycobacteriophage preparation (experimental study)</w:t>
            </w:r>
          </w:p>
          <w:p w14:paraId="70F08089" w14:textId="79FA9E55" w:rsidR="00354140" w:rsidRDefault="00140858" w:rsidP="00354140">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BF4BCA" w:rsidRPr="00BF4BCA">
              <w:rPr>
                <w:rFonts w:ascii="Times New Roman" w:hAnsi="Times New Roman" w:cs="Times New Roman"/>
                <w:color w:val="000000" w:themeColor="text1"/>
              </w:rPr>
              <w:t xml:space="preserve">This manuscript addresses a significant gap in the research on phage therapy, particularly in understanding the immunogenicity of bacteriophage preparations. However, there are areas where more in-depth analysis and discussion could substantially improve the manuscript, especially regarding the immune response and its implications for human therapy. </w:t>
            </w:r>
          </w:p>
          <w:p w14:paraId="1E99203C" w14:textId="192EBD61" w:rsidR="00BF4BCA" w:rsidRPr="00BF4BCA" w:rsidRDefault="00BF4BCA" w:rsidP="00BF4BCA">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F4BCA">
              <w:rPr>
                <w:rFonts w:ascii="Times New Roman" w:eastAsia="Times New Roman" w:hAnsi="Times New Roman" w:cs="Times New Roman"/>
                <w:bCs/>
                <w:color w:val="000000" w:themeColor="text1"/>
                <w:shd w:val="clear" w:color="auto" w:fill="FFFFFF"/>
                <w:lang w:val="en-IN" w:eastAsia="en-IN"/>
              </w:rPr>
              <w:t>The experimental design effectively explores the formation of antibodies after prolonged exposure to phages, using thorough immunological and microbiological analyses.</w:t>
            </w:r>
          </w:p>
          <w:p w14:paraId="7376734A" w14:textId="7C36C2D2" w:rsidR="00BF4BCA" w:rsidRPr="00BF4BCA" w:rsidRDefault="00BF4BCA" w:rsidP="00BF4BCA">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F4BCA">
              <w:rPr>
                <w:rFonts w:ascii="Times New Roman" w:eastAsia="Times New Roman" w:hAnsi="Times New Roman" w:cs="Times New Roman"/>
                <w:bCs/>
                <w:color w:val="000000" w:themeColor="text1"/>
                <w:shd w:val="clear" w:color="auto" w:fill="FFFFFF"/>
                <w:lang w:val="en-IN" w:eastAsia="en-IN"/>
              </w:rPr>
              <w:t>The manuscript presents the results clearly, with appropriate use of tables and figures to illustrate the effects of immune plasma on phage activity.</w:t>
            </w:r>
          </w:p>
          <w:p w14:paraId="2231C164" w14:textId="098BD62D" w:rsidR="00BF4BCA" w:rsidRPr="00BF4BCA" w:rsidRDefault="00BF4BCA" w:rsidP="00BF4BCA">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F4BCA">
              <w:rPr>
                <w:rFonts w:ascii="Times New Roman" w:eastAsia="Times New Roman" w:hAnsi="Times New Roman" w:cs="Times New Roman"/>
                <w:bCs/>
                <w:color w:val="000000" w:themeColor="text1"/>
                <w:shd w:val="clear" w:color="auto" w:fill="FFFFFF"/>
                <w:lang w:val="en-IN" w:eastAsia="en-IN"/>
              </w:rPr>
              <w:t>Consider adding more data on the types of antibodies formed (e.g., IgM, IgG, IgA) and their specific roles in neutralizing the phages. Additionally, including assays to detect cytokine production or other markers of immune response could provide more comprehensive insights into the immune system's reaction to phage therapy.</w:t>
            </w:r>
          </w:p>
          <w:p w14:paraId="54A441F5" w14:textId="5EDC417E" w:rsidR="00BF4BCA" w:rsidRPr="00BF4BCA" w:rsidRDefault="00BF4BCA" w:rsidP="00BF4BCA">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F4BCA">
              <w:rPr>
                <w:rFonts w:ascii="Times New Roman" w:eastAsia="Times New Roman" w:hAnsi="Times New Roman" w:cs="Times New Roman"/>
                <w:bCs/>
                <w:color w:val="000000" w:themeColor="text1"/>
                <w:shd w:val="clear" w:color="auto" w:fill="FFFFFF"/>
                <w:lang w:val="en-IN" w:eastAsia="en-IN"/>
              </w:rPr>
              <w:t>It would be beneficial to include a broader range of bacteriophages and perhaps explore different animal models or provide rationale for why the selected models (e.g., mice) are appropriate for human extrapolation.</w:t>
            </w:r>
          </w:p>
          <w:p w14:paraId="42C958D6" w14:textId="790CCF6B" w:rsidR="00BF4BCA" w:rsidRPr="00BF4BCA" w:rsidRDefault="00BF4BCA" w:rsidP="00BF4BCA">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F4BCA">
              <w:rPr>
                <w:rFonts w:ascii="Times New Roman" w:eastAsia="Times New Roman" w:hAnsi="Times New Roman" w:cs="Times New Roman"/>
                <w:bCs/>
                <w:color w:val="000000" w:themeColor="text1"/>
                <w:shd w:val="clear" w:color="auto" w:fill="FFFFFF"/>
                <w:lang w:val="en-IN" w:eastAsia="en-IN"/>
              </w:rPr>
              <w:t>A discussion on the potential consequences of long-term or repeated bacteriophage treatments in humans, such as the development of resistance or heightened immunogenicity, would add depth to the discussion. This could include a review of the literature on phage therapy in clinical settings.</w:t>
            </w:r>
          </w:p>
          <w:p w14:paraId="07F91E69" w14:textId="77777777" w:rsidR="00BF4BCA" w:rsidRDefault="00BF4BCA" w:rsidP="00BF4BCA">
            <w:pPr>
              <w:pStyle w:val="ListParagraph"/>
              <w:numPr>
                <w:ilvl w:val="0"/>
                <w:numId w:val="27"/>
              </w:numPr>
              <w:spacing w:line="360" w:lineRule="auto"/>
              <w:jc w:val="both"/>
            </w:pPr>
            <w:r w:rsidRPr="00BF4BCA">
              <w:rPr>
                <w:rFonts w:ascii="Times New Roman" w:eastAsia="Times New Roman" w:hAnsi="Times New Roman" w:cs="Times New Roman"/>
                <w:bCs/>
                <w:color w:val="000000" w:themeColor="text1"/>
                <w:shd w:val="clear" w:color="auto" w:fill="FFFFFF"/>
                <w:lang w:val="en-IN" w:eastAsia="en-IN"/>
              </w:rPr>
              <w:t>If possible, incorporating preliminary data from clinical studies or proposing future directions for human clinical trials would enhance the manuscript's relevance and impact.</w:t>
            </w:r>
            <w:r>
              <w:t xml:space="preserve"> </w:t>
            </w:r>
          </w:p>
          <w:p w14:paraId="7B7E31E1" w14:textId="7B105E9C" w:rsidR="00BF4BCA" w:rsidRPr="00BF4BCA" w:rsidRDefault="00BF4BCA" w:rsidP="00BF4BCA">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F4BCA">
              <w:rPr>
                <w:rFonts w:ascii="Times New Roman" w:eastAsia="Times New Roman" w:hAnsi="Times New Roman" w:cs="Times New Roman"/>
                <w:bCs/>
                <w:color w:val="000000" w:themeColor="text1"/>
                <w:shd w:val="clear" w:color="auto" w:fill="FFFFFF"/>
                <w:lang w:val="en-IN" w:eastAsia="en-IN"/>
              </w:rPr>
              <w:t>While the study demonstrates that the immunogenic response does not compromise the bactericidal activity of the phages, further elaboration on how this finding could translate into clinical practice, particularly in terms of dosing and treatment regimens, would be valuable.</w:t>
            </w:r>
          </w:p>
          <w:p w14:paraId="69D4D532" w14:textId="3DC8A181" w:rsidR="00BF4BCA" w:rsidRPr="00BF4BCA" w:rsidRDefault="00BF4BCA" w:rsidP="00BF4BCA">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F4BCA">
              <w:rPr>
                <w:rFonts w:ascii="Times New Roman" w:eastAsia="Times New Roman" w:hAnsi="Times New Roman" w:cs="Times New Roman"/>
                <w:bCs/>
                <w:color w:val="000000" w:themeColor="text1"/>
                <w:shd w:val="clear" w:color="auto" w:fill="FFFFFF"/>
                <w:lang w:val="en-IN" w:eastAsia="en-IN"/>
              </w:rPr>
              <w:lastRenderedPageBreak/>
              <w:t>To strengthen the scholarly impact of the article, it could be beneficial t</w:t>
            </w:r>
            <w:r w:rsidR="00824850">
              <w:rPr>
                <w:rFonts w:ascii="Times New Roman" w:eastAsia="Times New Roman" w:hAnsi="Times New Roman" w:cs="Times New Roman"/>
                <w:bCs/>
                <w:color w:val="000000" w:themeColor="text1"/>
                <w:shd w:val="clear" w:color="auto" w:fill="FFFFFF"/>
                <w:lang w:val="en-IN" w:eastAsia="en-IN"/>
              </w:rPr>
              <w:t>o incorporate Abstract</w:t>
            </w:r>
            <w:r w:rsidRPr="00BF4BCA">
              <w:rPr>
                <w:rFonts w:ascii="Times New Roman" w:eastAsia="Times New Roman" w:hAnsi="Times New Roman" w:cs="Times New Roman"/>
                <w:bCs/>
                <w:color w:val="000000" w:themeColor="text1"/>
                <w:shd w:val="clear" w:color="auto" w:fill="FFFFFF"/>
                <w:lang w:val="en-IN" w:eastAsia="en-IN"/>
              </w:rPr>
              <w:t xml:space="preserve"> to the article</w:t>
            </w:r>
          </w:p>
          <w:p w14:paraId="07D57B01" w14:textId="77777777" w:rsidR="00BF4BCA" w:rsidRDefault="00BF4BCA" w:rsidP="00354140">
            <w:pPr>
              <w:spacing w:line="360" w:lineRule="auto"/>
              <w:jc w:val="both"/>
              <w:rPr>
                <w:rFonts w:ascii="Times New Roman" w:eastAsia="Times New Roman" w:hAnsi="Times New Roman" w:cs="Times New Roman"/>
                <w:bCs/>
                <w:color w:val="000000" w:themeColor="text1"/>
                <w:shd w:val="clear" w:color="auto" w:fill="FFFFFF"/>
                <w:lang w:val="en-IN" w:eastAsia="en-IN"/>
              </w:rPr>
            </w:pPr>
            <w:bookmarkStart w:id="0" w:name="_GoBack"/>
            <w:bookmarkEnd w:id="0"/>
          </w:p>
          <w:p w14:paraId="387941E6" w14:textId="55800739" w:rsidR="0049531E" w:rsidRPr="00C66E4D" w:rsidRDefault="00DE24E6" w:rsidP="00354140">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The article can be publ</w:t>
            </w:r>
            <w:r w:rsidR="00B77468" w:rsidRPr="00C66E4D">
              <w:rPr>
                <w:rFonts w:ascii="Times New Roman" w:eastAsia="Times New Roman" w:hAnsi="Times New Roman" w:cs="Times New Roman"/>
                <w:bCs/>
                <w:color w:val="000000" w:themeColor="text1"/>
                <w:shd w:val="clear" w:color="auto" w:fill="FFFFFF"/>
                <w:lang w:val="en-IN" w:eastAsia="en-IN"/>
              </w:rPr>
              <w:t>ished</w:t>
            </w:r>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5041" w14:textId="77777777" w:rsidR="00E87FD5" w:rsidRDefault="00E87FD5" w:rsidP="00F65AB0">
      <w:pPr>
        <w:spacing w:after="0" w:line="240" w:lineRule="auto"/>
      </w:pPr>
      <w:r>
        <w:separator/>
      </w:r>
    </w:p>
  </w:endnote>
  <w:endnote w:type="continuationSeparator" w:id="0">
    <w:p w14:paraId="4A97A4B4" w14:textId="77777777" w:rsidR="00E87FD5" w:rsidRDefault="00E87FD5"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1D5459" w14:textId="77777777" w:rsidR="00E87FD5" w:rsidRDefault="00E87FD5" w:rsidP="00F65AB0">
      <w:pPr>
        <w:spacing w:after="0" w:line="240" w:lineRule="auto"/>
      </w:pPr>
      <w:r>
        <w:separator/>
      </w:r>
    </w:p>
  </w:footnote>
  <w:footnote w:type="continuationSeparator" w:id="0">
    <w:p w14:paraId="7D9EA13D" w14:textId="77777777" w:rsidR="00E87FD5" w:rsidRDefault="00E87FD5"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7F04F91"/>
    <w:multiLevelType w:val="hybridMultilevel"/>
    <w:tmpl w:val="4C8C26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BB32505"/>
    <w:multiLevelType w:val="hybridMultilevel"/>
    <w:tmpl w:val="B5D2C6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07D2C15"/>
    <w:multiLevelType w:val="hybridMultilevel"/>
    <w:tmpl w:val="C62CFB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20"/>
  </w:num>
  <w:num w:numId="5">
    <w:abstractNumId w:val="12"/>
  </w:num>
  <w:num w:numId="6">
    <w:abstractNumId w:val="14"/>
  </w:num>
  <w:num w:numId="7">
    <w:abstractNumId w:val="21"/>
  </w:num>
  <w:num w:numId="8">
    <w:abstractNumId w:val="4"/>
  </w:num>
  <w:num w:numId="9">
    <w:abstractNumId w:val="16"/>
  </w:num>
  <w:num w:numId="10">
    <w:abstractNumId w:val="22"/>
  </w:num>
  <w:num w:numId="11">
    <w:abstractNumId w:val="24"/>
  </w:num>
  <w:num w:numId="12">
    <w:abstractNumId w:val="6"/>
  </w:num>
  <w:num w:numId="13">
    <w:abstractNumId w:val="19"/>
  </w:num>
  <w:num w:numId="14">
    <w:abstractNumId w:val="3"/>
  </w:num>
  <w:num w:numId="15">
    <w:abstractNumId w:val="13"/>
  </w:num>
  <w:num w:numId="16">
    <w:abstractNumId w:val="15"/>
  </w:num>
  <w:num w:numId="17">
    <w:abstractNumId w:val="5"/>
  </w:num>
  <w:num w:numId="18">
    <w:abstractNumId w:val="26"/>
  </w:num>
  <w:num w:numId="19">
    <w:abstractNumId w:val="10"/>
  </w:num>
  <w:num w:numId="20">
    <w:abstractNumId w:val="9"/>
  </w:num>
  <w:num w:numId="21">
    <w:abstractNumId w:val="17"/>
  </w:num>
  <w:num w:numId="22">
    <w:abstractNumId w:val="8"/>
  </w:num>
  <w:num w:numId="23">
    <w:abstractNumId w:val="18"/>
  </w:num>
  <w:num w:numId="24">
    <w:abstractNumId w:val="2"/>
  </w:num>
  <w:num w:numId="25">
    <w:abstractNumId w:val="11"/>
  </w:num>
  <w:num w:numId="26">
    <w:abstractNumId w:val="25"/>
  </w:num>
  <w:num w:numId="27">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5003"/>
    <w:rsid w:val="000360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B724C"/>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36A"/>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0BB7"/>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45E19"/>
    <w:rsid w:val="00351C1F"/>
    <w:rsid w:val="00353C2B"/>
    <w:rsid w:val="00354140"/>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03C7"/>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500E"/>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4850"/>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4BCA"/>
    <w:rsid w:val="00BF68C5"/>
    <w:rsid w:val="00C0320B"/>
    <w:rsid w:val="00C069F3"/>
    <w:rsid w:val="00C10651"/>
    <w:rsid w:val="00C11AC0"/>
    <w:rsid w:val="00C125B3"/>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7179"/>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5C21"/>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2C4E"/>
    <w:rsid w:val="00E85D9A"/>
    <w:rsid w:val="00E86BEB"/>
    <w:rsid w:val="00E87FD5"/>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AB29BEE8-9BE6-4B57-8507-08970BD0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7520344">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070908">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192361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0900139">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2940078">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8652007">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2411748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47918016">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70B1B-AB04-4BDD-99A8-264085924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2024-10-16T12:46:00Z</dcterms:created>
  <dcterms:modified xsi:type="dcterms:W3CDTF">2024-10-19T09:37:00Z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